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5308A"/>
          <w:sz w:val="20"/>
        </w:rPr>
        <w:t>PROGRAM SZKOLENIA</w:t>
      </w:r>
    </w:p>
    <w:p>
      <w:pPr>
        <w:spacing w:after="40"/>
      </w:pPr>
      <w:r>
        <w:rPr>
          <w:b/>
          <w:i w:val="0"/>
          <w:color w:val="0F1626"/>
          <w:sz w:val="44"/>
        </w:rPr>
        <w:t>Bezpieczne korzystanie z AI w pracy</w:t>
      </w:r>
    </w:p>
    <w:p>
      <w:pPr>
        <w:spacing w:after="40"/>
      </w:pPr>
      <w:r>
        <w:rPr>
          <w:b w:val="0"/>
          <w:i/>
          <w:color w:val="444C5C"/>
          <w:sz w:val="24"/>
        </w:rPr>
        <w:t>Co wolno wkleić do narzędzia AI, kto sprawdza wynik i co obowiązuje w organizacji</w:t>
      </w:r>
    </w:p>
    <w:p>
      <w:pPr>
        <w:spacing w:after="200"/>
      </w:pPr>
      <w:r>
        <w:rPr>
          <w:b w:val="0"/>
          <w:i w:val="0"/>
          <w:color w:val="666666"/>
          <w:sz w:val="18"/>
        </w:rPr>
        <w:t>Stan prawny na dzień 19.10.2026</w:t>
      </w:r>
    </w:p>
    <w:p>
      <w:pPr>
        <w:spacing w:after="120"/>
      </w:pPr>
      <w:r>
        <w:rPr>
          <w:b w:val="0"/>
          <w:i w:val="0"/>
        </w:rPr>
        <w:t>Celem szkolenia jest wyposażenie pracowników w wiedzę potrzebną do bezpiecznego i zgodnego z prawem korzystania z narzędzi sztucznej inteligencji w codziennej pracy. Szkolenie jest praktyczne i oparte na przykładach: wskazuje ukryte ryzyka (tzw. shadow AI), porządkuje zasady ochrony danych i tajemnic oraz uczy weryfikować odpowiedzi modeli.</w:t>
      </w:r>
    </w:p>
    <w:p>
      <w:pPr>
        <w:spacing w:after="120"/>
      </w:pPr>
      <w:r>
        <w:rPr>
          <w:b w:val="0"/>
          <w:i w:val="0"/>
        </w:rPr>
        <w:t>Program uwzględnia stan prawny po zmianach AI Act z lipca 2026 r. (Digital Omnibus) oraz po wejściu w życie polskiej ustawy o systemach sztucznej inteligencji. Wspiera działania organizacji w zakresie kompetencji w dziedzinie AI (art. 4 AI Act) i pomaga udokumentować, że o nie zadbano.</w:t>
      </w:r>
    </w:p>
    <w:p>
      <w:pPr>
        <w:spacing w:after="120"/>
      </w:pPr>
      <w:r>
        <w:rPr>
          <w:b w:val="0"/>
          <w:i w:val="0"/>
        </w:rPr>
        <w:t>Czas trwania: od 2 do 4 godzin (zakres dobieram do grupy i dostępnego czasu). Forma: stacjonarnie lub online. Zakres: moduły są klockami, z których składam program dla konkretnej grupy: działu księgowości, kadr, obsługi klienta, administracji czy całej organizacji.</w:t>
      </w:r>
    </w:p>
    <w:p>
      <w:pPr>
        <w:pStyle w:val="Heading2"/>
      </w:pPr>
      <w:r>
        <w:rPr>
          <w:color w:val="0F1626"/>
          <w:sz w:val="26"/>
        </w:rPr>
        <w:t>Moduł 1. Narzędzia AI w pracy: gdzie kończy się darmowe narzędzie, a zaczyna odpowiedzialność</w:t>
      </w:r>
    </w:p>
    <w:p>
      <w:pPr>
        <w:pStyle w:val="ListBullet"/>
      </w:pPr>
      <w:r>
        <w:t>Jak działają modele językowe (ChatGPT, Claude, Gemini, Copilot) i dlaczego odpowiadają pewnie, nawet gdy się mylą (halucynacje).</w:t>
      </w:r>
    </w:p>
    <w:p>
      <w:pPr>
        <w:pStyle w:val="ListBullet"/>
      </w:pPr>
      <w:r>
        <w:t>Wersje bezpłatne i biznesowe: regulaminy, retencja danych, wykorzystanie wpisanych treści do trenowania modeli.</w:t>
      </w:r>
    </w:p>
    <w:p>
      <w:pPr>
        <w:pStyle w:val="ListBullet"/>
      </w:pPr>
      <w:r>
        <w:t>Zjawisko „shadow AI”: prywatne konta i niezatwierdzone aplikacje jako ryzyko dla całej organizacji.</w:t>
      </w:r>
    </w:p>
    <w:p>
      <w:pPr>
        <w:pStyle w:val="ListBullet"/>
      </w:pPr>
      <w:r>
        <w:t>Typowe błędy modeli przy polskim prawie: nieaktualny stan prawny, zmyślone sygnatury i interpretacje.</w:t>
      </w:r>
    </w:p>
    <w:p>
      <w:pPr>
        <w:pStyle w:val="Heading2"/>
      </w:pPr>
      <w:r>
        <w:rPr>
          <w:color w:val="0F1626"/>
          <w:sz w:val="26"/>
        </w:rPr>
        <w:t>Moduł 2. AI Act i polska ustawa o systemach AI: co dotyczy zwykłej organizacji</w:t>
      </w:r>
    </w:p>
    <w:p>
      <w:pPr>
        <w:pStyle w:val="ListBullet"/>
      </w:pPr>
      <w:r>
        <w:t>Organizacja jako „podmiot stosujący”: czy AI Act dotyczy firmy, która tylko korzysta z gotowych narzędzi?</w:t>
      </w:r>
    </w:p>
    <w:p>
      <w:pPr>
        <w:pStyle w:val="ListBullet"/>
      </w:pPr>
      <w:r>
        <w:t>Kompetencje w zakresie AI (art. 4 AI Act): co zmienił Digital Omnibus i jak udokumentować należytą staranność.</w:t>
      </w:r>
    </w:p>
    <w:p>
      <w:pPr>
        <w:pStyle w:val="ListBullet"/>
      </w:pPr>
      <w:r>
        <w:t>Obowiązki przejrzystości od 2 sierpnia 2026 r. (art. 50): kiedy trzeba ujawnić, że treść powstała z udziałem AI.</w:t>
      </w:r>
    </w:p>
    <w:p>
      <w:pPr>
        <w:pStyle w:val="ListBullet"/>
      </w:pPr>
      <w:r>
        <w:t>Zakazane praktyki i systemy wysokiego ryzyka, w tym narzędzia wykorzystywane w rekrutacji i ocenie pracowników.</w:t>
      </w:r>
    </w:p>
    <w:p>
      <w:pPr>
        <w:pStyle w:val="ListBullet"/>
      </w:pPr>
      <w:r>
        <w:t>Nowy organ nadzoru (KRiBSI), kontrole i kary: praktyczne znaczenie dla organizacji korzystających z AI.</w:t>
      </w:r>
    </w:p>
    <w:p>
      <w:pPr>
        <w:pStyle w:val="Heading2"/>
      </w:pPr>
      <w:r>
        <w:rPr>
          <w:color w:val="0F1626"/>
          <w:sz w:val="26"/>
        </w:rPr>
        <w:t>Moduł 3. Dane osobowe i tajemnice w oknie czatu (RODO)</w:t>
      </w:r>
    </w:p>
    <w:p>
      <w:pPr>
        <w:pStyle w:val="ListBullet"/>
      </w:pPr>
      <w:r>
        <w:t>Czego nie wolno wklejać: dane osobowe pracowników, klientów i kontrahentów, dane płacowe i zdrowotne, tajemnica przedsiębiorstwa, informacje poufne.</w:t>
      </w:r>
    </w:p>
    <w:p>
      <w:pPr>
        <w:pStyle w:val="ListBullet"/>
      </w:pPr>
      <w:r>
        <w:t>Wprowadzenie danych do publicznego narzędzia jako przetwarzanie bez podstawy prawnej i potencjalne naruszenie ochrony danych.</w:t>
      </w:r>
    </w:p>
    <w:p>
      <w:pPr>
        <w:pStyle w:val="ListBullet"/>
      </w:pPr>
      <w:r>
        <w:t>Dostawca AI jako podmiot przetwarzający: umowa powierzenia, transfer danych poza UE, na co zwrócić uwagę.</w:t>
      </w:r>
    </w:p>
    <w:p>
      <w:pPr>
        <w:pStyle w:val="ListBullet"/>
      </w:pPr>
      <w:r>
        <w:t>Anonimizacja i pseudonimizacja: jak przygotować dane, zanim trafią do narzędzia, i gdzie kończy się skuteczność tych technik.</w:t>
      </w:r>
    </w:p>
    <w:p>
      <w:pPr>
        <w:pStyle w:val="Heading2"/>
      </w:pPr>
      <w:r>
        <w:rPr>
          <w:color w:val="0F1626"/>
          <w:sz w:val="26"/>
        </w:rPr>
        <w:t>Moduł 4. Prawa autorskie i odpowiedzialność za wynik pracy z AI</w:t>
      </w:r>
    </w:p>
    <w:p>
      <w:pPr>
        <w:pStyle w:val="ListBullet"/>
      </w:pPr>
      <w:r>
        <w:t>Komu przysługują prawa do tekstu, grafiki lub analizy wygenerowanej przez model? Brak ochrony dla wytworów bez twórczego wkładu człowieka.</w:t>
      </w:r>
    </w:p>
    <w:p>
      <w:pPr>
        <w:pStyle w:val="ListBullet"/>
      </w:pPr>
      <w:r>
        <w:t>Ryzyko naruszenia cudzych praw przy publikowaniu treści wygenerowanych przez AI.</w:t>
      </w:r>
    </w:p>
    <w:p>
      <w:pPr>
        <w:pStyle w:val="ListBullet"/>
      </w:pPr>
      <w:r>
        <w:t>Odpowiedzialność pracownika i pracodawcy za błąd w dokumencie przygotowanym z udziałem AI.</w:t>
      </w:r>
    </w:p>
    <w:p>
      <w:pPr>
        <w:pStyle w:val="ListBullet"/>
      </w:pPr>
      <w:r>
        <w:t>Zasada „człowiek zatwierdza” (human in the loop): kto imiennie odpowiada za wynik, zanim opuści organizację.</w:t>
      </w:r>
    </w:p>
    <w:p>
      <w:pPr>
        <w:pStyle w:val="Heading2"/>
      </w:pPr>
      <w:r>
        <w:rPr>
          <w:color w:val="0F1626"/>
          <w:sz w:val="26"/>
        </w:rPr>
        <w:t>Moduł 5. Polityka AI i wykaz narzędzi w organizacji</w:t>
      </w:r>
    </w:p>
    <w:p>
      <w:pPr>
        <w:pStyle w:val="ListBullet"/>
      </w:pPr>
      <w:r>
        <w:t>Co zawiera polityka korzystania z AI: narzędzia dozwolone i zabronione, kategorie danych, zasady zatwierdzania wyników.</w:t>
      </w:r>
    </w:p>
    <w:p>
      <w:pPr>
        <w:pStyle w:val="ListBullet"/>
      </w:pPr>
      <w:r>
        <w:t>Wykaz narzędzi AI: kto prowadzi, kto zatwierdza nowe narzędzia i jak zgłosić potrzebę.</w:t>
      </w:r>
    </w:p>
    <w:p>
      <w:pPr>
        <w:pStyle w:val="ListBullet"/>
      </w:pPr>
      <w:r>
        <w:t>Klauzule w umowach z pracownikami i kontrahentami dotyczące korzystania z AI.</w:t>
      </w:r>
    </w:p>
    <w:p>
      <w:pPr>
        <w:pStyle w:val="ListBullet"/>
      </w:pPr>
      <w:r>
        <w:t>Incydent z udziałem AI: co zrobić i komu zgłosić, gdy dane trafiły do nieautoryzowanego narzędzia.</w:t>
      </w:r>
    </w:p>
    <w:p>
      <w:pPr>
        <w:pStyle w:val="Heading2"/>
      </w:pPr>
      <w:r>
        <w:rPr>
          <w:color w:val="0F1626"/>
          <w:sz w:val="26"/>
        </w:rPr>
        <w:t>Moduł 6. Warsztat: bezpieczne promptowanie i weryfikacja wyników</w:t>
      </w:r>
    </w:p>
    <w:p>
      <w:pPr>
        <w:pStyle w:val="ListBullet"/>
      </w:pPr>
      <w:r>
        <w:t>Przygotowanie bezpiecznych poleceń na przykładach z pracy uczestników: pisma, e-maile, streszczenia, analizy, tłumaczenia.</w:t>
      </w:r>
    </w:p>
    <w:p>
      <w:pPr>
        <w:pStyle w:val="ListBullet"/>
      </w:pPr>
      <w:r>
        <w:t>Jak w kilka minut sprawdzić przepis, liczby, sygnaturę i aktualność stanu prawnego, zanim dokument trafi dalej.</w:t>
      </w:r>
    </w:p>
    <w:p>
      <w:pPr>
        <w:pStyle w:val="ListBullet"/>
      </w:pPr>
      <w:r>
        <w:t>Ćwiczenie: ocena, które dane można wprowadzić do narzędzia, a które trzeba zanonimizować lub zostawić poza AI.</w:t>
      </w:r>
    </w:p>
    <w:p>
      <w:pPr>
        <w:pStyle w:val="ListBullet"/>
      </w:pPr>
      <w:r>
        <w:t>Krótki test na koniec i potwierdzenie udziału do dokumentacji organizacji.</w:t>
      </w:r>
    </w:p>
    <w:p>
      <w:pPr>
        <w:pStyle w:val="Heading2"/>
      </w:pPr>
      <w:r>
        <w:rPr>
          <w:color w:val="0F1626"/>
          <w:sz w:val="26"/>
        </w:rPr>
        <w:t>Dodatkowo. Moduł dodatkowy dla działów finansowych i księgowych</w:t>
      </w:r>
    </w:p>
    <w:p>
      <w:pPr>
        <w:pStyle w:val="ListBullet"/>
      </w:pPr>
      <w:r>
        <w:t>Rozliczenie wydatków na narzędzia AI: koszty uzyskania przychodów, VAT (import usług) i podatek u źródła przy płatnościach do zagranicznych dostawców.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  <w:color w:val="444C5C"/>
          <w:sz w:val="20"/>
        </w:rPr>
        <w:t>Prowadzący: Krzysztof Kłoskowski, radca prawny, doradca podatkowy. Kontakt: ai@kloskowski.pl · www.kloskowski.pl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